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E77CEB">
        <w:rPr>
          <w:rFonts w:ascii="Times New Roman" w:hAnsi="Times New Roman" w:cs="Times New Roman"/>
        </w:rPr>
        <w:t>31</w:t>
      </w:r>
      <w:r w:rsidR="00F66AF1">
        <w:rPr>
          <w:rFonts w:ascii="Times New Roman" w:hAnsi="Times New Roman" w:cs="Times New Roman"/>
        </w:rPr>
        <w:t>.12</w:t>
      </w:r>
      <w:r w:rsidRPr="001536BD">
        <w:rPr>
          <w:rFonts w:ascii="Times New Roman" w:hAnsi="Times New Roman" w:cs="Times New Roman"/>
        </w:rPr>
        <w:t>.2013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Участник  – Кабатов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E77CEB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Чистая прибыль за последний отчетный период (третий квартал 2013 года</w:t>
            </w:r>
            <w:r w:rsidR="00B32151">
              <w:rPr>
                <w:rFonts w:ascii="Times New Roman" w:eastAsia="Calibri" w:hAnsi="Times New Roman" w:cs="Times New Roman"/>
              </w:rPr>
              <w:t xml:space="preserve">) составила 0,00 рублей. </w:t>
            </w:r>
            <w:r w:rsidR="00E77CEB">
              <w:rPr>
                <w:rFonts w:ascii="Times New Roman" w:eastAsia="Calibri" w:hAnsi="Times New Roman" w:cs="Times New Roman"/>
              </w:rPr>
              <w:t>Чистая прибыль</w:t>
            </w:r>
            <w:r>
              <w:rPr>
                <w:rFonts w:ascii="Times New Roman" w:eastAsia="Calibri" w:hAnsi="Times New Roman" w:cs="Times New Roman"/>
              </w:rPr>
              <w:t xml:space="preserve"> за последний отчетный период (за третий квартал 2013 года) составил</w:t>
            </w:r>
            <w:r w:rsidR="00B30DBC">
              <w:rPr>
                <w:rFonts w:ascii="Times New Roman" w:eastAsia="Calibri" w:hAnsi="Times New Roman" w:cs="Times New Roman"/>
              </w:rPr>
              <w:t xml:space="preserve"> </w:t>
            </w:r>
            <w:r w:rsidR="00E77CEB" w:rsidRPr="00E77CEB">
              <w:rPr>
                <w:rFonts w:ascii="Times New Roman" w:eastAsia="Calibri" w:hAnsi="Times New Roman" w:cs="Times New Roman"/>
              </w:rPr>
              <w:t>2768 тыс. руб.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 31.12.2013г.</w:t>
            </w:r>
            <w:r w:rsidRPr="00E77CEB">
              <w:rPr>
                <w:rFonts w:ascii="Times New Roman" w:eastAsia="Calibri" w:hAnsi="Times New Roman" w:cs="Times New Roman"/>
              </w:rPr>
              <w:tab/>
              <w:t>119734 тыс. руб.</w:t>
            </w:r>
          </w:p>
          <w:p w:rsidR="009917CC" w:rsidRPr="009917CC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 31.12.2013г.</w:t>
            </w:r>
            <w:r w:rsidRPr="00E77CEB">
              <w:rPr>
                <w:rFonts w:ascii="Times New Roman" w:eastAsia="Calibri" w:hAnsi="Times New Roman" w:cs="Times New Roman"/>
              </w:rPr>
              <w:tab/>
              <w:t>384516 тыс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9917CC" w:rsidRPr="009917CC" w:rsidRDefault="009917CC" w:rsidP="009917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«Союзпетрострой-Эксперт»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кв.м,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здания 24011,68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квартир 10147,61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встроенных помещений 3661,57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общее количество машиномест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площадь площадок и набивных дорожек 236,14 кв.м.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Арендные помещения и ДОО на 20 мест общей площадью 4144,38 кв.м.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от возможных финансовых и 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«Ленстройпроект»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«СтройФормат»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Способ обеспечения исполнения обязательств застройщика по договору: Залог в порядке, предусмотренном ст.ст.13-15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C87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«ГАРТ»      А.П. Брагин</w:t>
      </w:r>
      <w:bookmarkStart w:id="0" w:name="_GoBack"/>
      <w:bookmarkEnd w:id="0"/>
    </w:p>
    <w:p w:rsidR="00557E8A" w:rsidRPr="009917CC" w:rsidRDefault="00557E8A">
      <w:pPr>
        <w:rPr>
          <w:rFonts w:ascii="Times New Roman" w:hAnsi="Times New Roman" w:cs="Times New Roman"/>
        </w:rPr>
      </w:pP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C87A2F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761"/>
    <w:rsid w:val="000B5BDE"/>
    <w:rsid w:val="000B734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C65"/>
    <w:rsid w:val="00161A03"/>
    <w:rsid w:val="001771AF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20D8"/>
    <w:rsid w:val="004F213A"/>
    <w:rsid w:val="005008F9"/>
    <w:rsid w:val="0050172B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5BCB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1BDA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22F9"/>
    <w:rsid w:val="00B25526"/>
    <w:rsid w:val="00B30DBC"/>
    <w:rsid w:val="00B32151"/>
    <w:rsid w:val="00B35582"/>
    <w:rsid w:val="00B44B3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87A2F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128AC"/>
    <w:rsid w:val="00E14895"/>
    <w:rsid w:val="00E2703E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66AF1"/>
    <w:rsid w:val="00F71AB0"/>
    <w:rsid w:val="00F74A63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7D48-A280-4714-A331-22CB4A0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4</cp:revision>
  <cp:lastPrinted>2014-04-03T14:28:00Z</cp:lastPrinted>
  <dcterms:created xsi:type="dcterms:W3CDTF">2015-07-13T12:06:00Z</dcterms:created>
  <dcterms:modified xsi:type="dcterms:W3CDTF">2015-07-14T09:07:00Z</dcterms:modified>
</cp:coreProperties>
</file>